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675"/>
        <w:tblW w:w="0" w:type="auto"/>
        <w:tblLook w:val="04A0" w:firstRow="1" w:lastRow="0" w:firstColumn="1" w:lastColumn="0" w:noHBand="0" w:noVBand="1"/>
      </w:tblPr>
      <w:tblGrid>
        <w:gridCol w:w="532"/>
        <w:gridCol w:w="2055"/>
        <w:gridCol w:w="618"/>
        <w:gridCol w:w="559"/>
        <w:gridCol w:w="1416"/>
        <w:gridCol w:w="859"/>
        <w:gridCol w:w="769"/>
        <w:gridCol w:w="1097"/>
        <w:gridCol w:w="1383"/>
      </w:tblGrid>
      <w:tr w:rsidR="004A2A43" w:rsidTr="004A2A43">
        <w:trPr>
          <w:trHeight w:val="495"/>
        </w:trPr>
        <w:tc>
          <w:tcPr>
            <w:tcW w:w="532" w:type="dxa"/>
            <w:vMerge w:val="restart"/>
          </w:tcPr>
          <w:p w:rsidR="004A2A43" w:rsidRDefault="004A2A43" w:rsidP="004A2A43">
            <w:r>
              <w:t>Lp.</w:t>
            </w:r>
          </w:p>
        </w:tc>
        <w:tc>
          <w:tcPr>
            <w:tcW w:w="2055" w:type="dxa"/>
            <w:vMerge w:val="restart"/>
          </w:tcPr>
          <w:p w:rsidR="004A2A43" w:rsidRDefault="004A2A43" w:rsidP="004A2A43">
            <w:r>
              <w:t>Nazwa artykułu</w:t>
            </w:r>
          </w:p>
        </w:tc>
        <w:tc>
          <w:tcPr>
            <w:tcW w:w="618" w:type="dxa"/>
            <w:vMerge w:val="restart"/>
          </w:tcPr>
          <w:p w:rsidR="004A2A43" w:rsidRDefault="004A2A43" w:rsidP="004A2A43">
            <w:r>
              <w:t>Ilość</w:t>
            </w:r>
          </w:p>
        </w:tc>
        <w:tc>
          <w:tcPr>
            <w:tcW w:w="559" w:type="dxa"/>
            <w:vMerge w:val="restart"/>
          </w:tcPr>
          <w:p w:rsidR="004A2A43" w:rsidRDefault="004A2A43" w:rsidP="004A2A43">
            <w:r>
              <w:t>Im.</w:t>
            </w:r>
          </w:p>
        </w:tc>
        <w:tc>
          <w:tcPr>
            <w:tcW w:w="1416" w:type="dxa"/>
            <w:vMerge w:val="restart"/>
          </w:tcPr>
          <w:p w:rsidR="004A2A43" w:rsidRDefault="004A2A43" w:rsidP="004A2A43">
            <w:r>
              <w:t>Cena jednostkowa netto</w:t>
            </w:r>
          </w:p>
        </w:tc>
        <w:tc>
          <w:tcPr>
            <w:tcW w:w="1628" w:type="dxa"/>
            <w:gridSpan w:val="2"/>
          </w:tcPr>
          <w:p w:rsidR="004A2A43" w:rsidRDefault="004A2A43" w:rsidP="004A2A43">
            <w:r>
              <w:t>Podatek VAT</w:t>
            </w:r>
          </w:p>
        </w:tc>
        <w:tc>
          <w:tcPr>
            <w:tcW w:w="2480" w:type="dxa"/>
            <w:gridSpan w:val="2"/>
          </w:tcPr>
          <w:p w:rsidR="004A2A43" w:rsidRDefault="004A2A43" w:rsidP="004A2A43">
            <w:r>
              <w:t xml:space="preserve">Wartość </w:t>
            </w:r>
          </w:p>
        </w:tc>
      </w:tr>
      <w:tr w:rsidR="004A2A43" w:rsidTr="004A2A43">
        <w:trPr>
          <w:trHeight w:val="315"/>
        </w:trPr>
        <w:tc>
          <w:tcPr>
            <w:tcW w:w="532" w:type="dxa"/>
            <w:vMerge/>
          </w:tcPr>
          <w:p w:rsidR="004A2A43" w:rsidRDefault="004A2A43" w:rsidP="004A2A43"/>
        </w:tc>
        <w:tc>
          <w:tcPr>
            <w:tcW w:w="2055" w:type="dxa"/>
            <w:vMerge/>
          </w:tcPr>
          <w:p w:rsidR="004A2A43" w:rsidRDefault="004A2A43" w:rsidP="004A2A43"/>
        </w:tc>
        <w:tc>
          <w:tcPr>
            <w:tcW w:w="618" w:type="dxa"/>
            <w:vMerge/>
          </w:tcPr>
          <w:p w:rsidR="004A2A43" w:rsidRDefault="004A2A43" w:rsidP="004A2A43"/>
        </w:tc>
        <w:tc>
          <w:tcPr>
            <w:tcW w:w="559" w:type="dxa"/>
            <w:vMerge/>
          </w:tcPr>
          <w:p w:rsidR="004A2A43" w:rsidRDefault="004A2A43" w:rsidP="004A2A43"/>
        </w:tc>
        <w:tc>
          <w:tcPr>
            <w:tcW w:w="1416" w:type="dxa"/>
            <w:vMerge/>
          </w:tcPr>
          <w:p w:rsidR="004A2A43" w:rsidRDefault="004A2A43" w:rsidP="004A2A43"/>
        </w:tc>
        <w:tc>
          <w:tcPr>
            <w:tcW w:w="859" w:type="dxa"/>
          </w:tcPr>
          <w:p w:rsidR="004A2A43" w:rsidRDefault="004A2A43" w:rsidP="004A2A43">
            <w:r>
              <w:t>Stawka %</w:t>
            </w:r>
          </w:p>
        </w:tc>
        <w:tc>
          <w:tcPr>
            <w:tcW w:w="769" w:type="dxa"/>
          </w:tcPr>
          <w:p w:rsidR="004A2A43" w:rsidRDefault="004A2A43" w:rsidP="004A2A43">
            <w:r>
              <w:t>kwota</w:t>
            </w:r>
          </w:p>
        </w:tc>
        <w:tc>
          <w:tcPr>
            <w:tcW w:w="1097" w:type="dxa"/>
          </w:tcPr>
          <w:p w:rsidR="004A2A43" w:rsidRDefault="004A2A43" w:rsidP="004A2A43">
            <w:r>
              <w:t>Netto</w:t>
            </w:r>
          </w:p>
        </w:tc>
        <w:tc>
          <w:tcPr>
            <w:tcW w:w="1383" w:type="dxa"/>
          </w:tcPr>
          <w:p w:rsidR="004A2A43" w:rsidRDefault="004A2A43" w:rsidP="004A2A43">
            <w:r>
              <w:t>Brutto</w:t>
            </w:r>
          </w:p>
        </w:tc>
      </w:tr>
      <w:tr w:rsidR="004A2A43" w:rsidTr="004A2A43">
        <w:tc>
          <w:tcPr>
            <w:tcW w:w="532" w:type="dxa"/>
          </w:tcPr>
          <w:p w:rsidR="004A2A43" w:rsidRDefault="004A2A43" w:rsidP="004A2A43">
            <w:r>
              <w:t>1.</w:t>
            </w:r>
          </w:p>
        </w:tc>
        <w:tc>
          <w:tcPr>
            <w:tcW w:w="2055" w:type="dxa"/>
          </w:tcPr>
          <w:p w:rsidR="00542851" w:rsidRDefault="00542851" w:rsidP="00A61E01">
            <w:r>
              <w:t xml:space="preserve">Aparat do magnetoterapii </w:t>
            </w:r>
            <w:proofErr w:type="spellStart"/>
            <w:r>
              <w:t>Magnetronic</w:t>
            </w:r>
            <w:proofErr w:type="spellEnd"/>
            <w:r>
              <w:t xml:space="preserve"> </w:t>
            </w:r>
          </w:p>
          <w:p w:rsidR="004A2A43" w:rsidRDefault="00542851" w:rsidP="00A61E01">
            <w:r>
              <w:t xml:space="preserve">  MF-10</w:t>
            </w:r>
          </w:p>
        </w:tc>
        <w:tc>
          <w:tcPr>
            <w:tcW w:w="618" w:type="dxa"/>
          </w:tcPr>
          <w:p w:rsidR="004A2A43" w:rsidRDefault="009A0298" w:rsidP="004A2A43">
            <w:r>
              <w:t>1</w:t>
            </w:r>
          </w:p>
        </w:tc>
        <w:tc>
          <w:tcPr>
            <w:tcW w:w="559" w:type="dxa"/>
          </w:tcPr>
          <w:p w:rsidR="004A2A43" w:rsidRDefault="00C06A30" w:rsidP="004A2A43">
            <w:proofErr w:type="spellStart"/>
            <w:r>
              <w:t>szt</w:t>
            </w:r>
            <w:proofErr w:type="spellEnd"/>
          </w:p>
        </w:tc>
        <w:tc>
          <w:tcPr>
            <w:tcW w:w="1416" w:type="dxa"/>
          </w:tcPr>
          <w:p w:rsidR="004A2A43" w:rsidRDefault="004A2A43" w:rsidP="004A2A43"/>
        </w:tc>
        <w:tc>
          <w:tcPr>
            <w:tcW w:w="859" w:type="dxa"/>
          </w:tcPr>
          <w:p w:rsidR="004A2A43" w:rsidRDefault="004A2A43" w:rsidP="004A2A43"/>
        </w:tc>
        <w:tc>
          <w:tcPr>
            <w:tcW w:w="769" w:type="dxa"/>
          </w:tcPr>
          <w:p w:rsidR="004A2A43" w:rsidRDefault="004A2A43" w:rsidP="004A2A43"/>
        </w:tc>
        <w:tc>
          <w:tcPr>
            <w:tcW w:w="1097" w:type="dxa"/>
          </w:tcPr>
          <w:p w:rsidR="004A2A43" w:rsidRDefault="004A2A43" w:rsidP="004A2A43"/>
        </w:tc>
        <w:tc>
          <w:tcPr>
            <w:tcW w:w="1383" w:type="dxa"/>
          </w:tcPr>
          <w:p w:rsidR="004A2A43" w:rsidRDefault="004A2A43" w:rsidP="004A2A43"/>
        </w:tc>
      </w:tr>
      <w:tr w:rsidR="00794F86" w:rsidTr="004A2A43">
        <w:tc>
          <w:tcPr>
            <w:tcW w:w="532" w:type="dxa"/>
          </w:tcPr>
          <w:p w:rsidR="00794F86" w:rsidRDefault="00794F86" w:rsidP="004A2A43">
            <w:r>
              <w:t>2.</w:t>
            </w:r>
          </w:p>
        </w:tc>
        <w:tc>
          <w:tcPr>
            <w:tcW w:w="2055" w:type="dxa"/>
          </w:tcPr>
          <w:p w:rsidR="00794F86" w:rsidRDefault="00AE10FA" w:rsidP="004A2A43">
            <w:r>
              <w:t>Ewentualne koszty tra</w:t>
            </w:r>
            <w:r w:rsidR="00C06A30">
              <w:t>nsportu</w:t>
            </w:r>
          </w:p>
        </w:tc>
        <w:tc>
          <w:tcPr>
            <w:tcW w:w="618" w:type="dxa"/>
          </w:tcPr>
          <w:p w:rsidR="00794F86" w:rsidRDefault="00794F86" w:rsidP="004A2A43"/>
        </w:tc>
        <w:tc>
          <w:tcPr>
            <w:tcW w:w="559" w:type="dxa"/>
          </w:tcPr>
          <w:p w:rsidR="00794F86" w:rsidRDefault="00794F86" w:rsidP="004A2A43"/>
        </w:tc>
        <w:tc>
          <w:tcPr>
            <w:tcW w:w="1416" w:type="dxa"/>
          </w:tcPr>
          <w:p w:rsidR="00794F86" w:rsidRDefault="00794F86" w:rsidP="004A2A43"/>
        </w:tc>
        <w:tc>
          <w:tcPr>
            <w:tcW w:w="859" w:type="dxa"/>
          </w:tcPr>
          <w:p w:rsidR="00794F86" w:rsidRDefault="00794F86" w:rsidP="004A2A43"/>
        </w:tc>
        <w:tc>
          <w:tcPr>
            <w:tcW w:w="769" w:type="dxa"/>
          </w:tcPr>
          <w:p w:rsidR="00794F86" w:rsidRDefault="00794F86" w:rsidP="004A2A43"/>
        </w:tc>
        <w:tc>
          <w:tcPr>
            <w:tcW w:w="1097" w:type="dxa"/>
          </w:tcPr>
          <w:p w:rsidR="00794F86" w:rsidRDefault="00794F86" w:rsidP="004A2A43"/>
        </w:tc>
        <w:tc>
          <w:tcPr>
            <w:tcW w:w="1383" w:type="dxa"/>
          </w:tcPr>
          <w:p w:rsidR="00794F86" w:rsidRDefault="00794F86" w:rsidP="004A2A43"/>
        </w:tc>
      </w:tr>
      <w:tr w:rsidR="00C06A30" w:rsidTr="004A2A43">
        <w:tc>
          <w:tcPr>
            <w:tcW w:w="532" w:type="dxa"/>
          </w:tcPr>
          <w:p w:rsidR="00C06A30" w:rsidRDefault="00C06A30" w:rsidP="004A2A43"/>
        </w:tc>
        <w:tc>
          <w:tcPr>
            <w:tcW w:w="2055" w:type="dxa"/>
          </w:tcPr>
          <w:p w:rsidR="00C06A30" w:rsidRDefault="00C06A30" w:rsidP="004A2A43">
            <w:r>
              <w:t>RAZEM</w:t>
            </w:r>
          </w:p>
        </w:tc>
        <w:tc>
          <w:tcPr>
            <w:tcW w:w="618" w:type="dxa"/>
          </w:tcPr>
          <w:p w:rsidR="00C06A30" w:rsidRDefault="00C06A30" w:rsidP="004A2A43"/>
        </w:tc>
        <w:tc>
          <w:tcPr>
            <w:tcW w:w="559" w:type="dxa"/>
          </w:tcPr>
          <w:p w:rsidR="00C06A30" w:rsidRDefault="00C06A30" w:rsidP="004A2A43"/>
        </w:tc>
        <w:tc>
          <w:tcPr>
            <w:tcW w:w="1416" w:type="dxa"/>
          </w:tcPr>
          <w:p w:rsidR="00C06A30" w:rsidRDefault="00C06A30" w:rsidP="004A2A43"/>
        </w:tc>
        <w:tc>
          <w:tcPr>
            <w:tcW w:w="859" w:type="dxa"/>
          </w:tcPr>
          <w:p w:rsidR="00C06A30" w:rsidRDefault="00C06A30" w:rsidP="004A2A43"/>
        </w:tc>
        <w:tc>
          <w:tcPr>
            <w:tcW w:w="769" w:type="dxa"/>
          </w:tcPr>
          <w:p w:rsidR="00C06A30" w:rsidRDefault="00C06A30" w:rsidP="004A2A43"/>
        </w:tc>
        <w:tc>
          <w:tcPr>
            <w:tcW w:w="1097" w:type="dxa"/>
          </w:tcPr>
          <w:p w:rsidR="00C06A30" w:rsidRDefault="00C06A30" w:rsidP="004A2A43"/>
        </w:tc>
        <w:tc>
          <w:tcPr>
            <w:tcW w:w="1383" w:type="dxa"/>
          </w:tcPr>
          <w:p w:rsidR="00C06A30" w:rsidRDefault="00C06A30" w:rsidP="004A2A43"/>
        </w:tc>
      </w:tr>
    </w:tbl>
    <w:p w:rsidR="00ED400E" w:rsidRDefault="004A2A43">
      <w:r>
        <w:t xml:space="preserve">Załącznik nr 2 – Asortymentowo </w:t>
      </w:r>
      <w:r w:rsidR="00794F86">
        <w:t>–</w:t>
      </w:r>
      <w:r>
        <w:t xml:space="preserve"> cenowy</w:t>
      </w:r>
    </w:p>
    <w:p w:rsidR="00794F86" w:rsidRDefault="00794F86"/>
    <w:p w:rsidR="008D5F81" w:rsidRDefault="009A0298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Specy</w:t>
      </w:r>
      <w:r w:rsidR="00542851">
        <w:rPr>
          <w:sz w:val="24"/>
          <w:szCs w:val="24"/>
          <w:lang w:eastAsia="x-none"/>
        </w:rPr>
        <w:t xml:space="preserve">fikacja  aparatu do magnetoterapii </w:t>
      </w:r>
    </w:p>
    <w:p w:rsidR="007602C2" w:rsidRDefault="007602C2">
      <w:pPr>
        <w:rPr>
          <w:sz w:val="24"/>
          <w:szCs w:val="24"/>
          <w:lang w:eastAsia="x-none"/>
        </w:rPr>
      </w:pPr>
      <w:r>
        <w:t>-</w:t>
      </w:r>
      <w:bookmarkStart w:id="0" w:name="_GoBack"/>
      <w:bookmarkEnd w:id="0"/>
      <w:r>
        <w:t>wbudowane gotowe procedury terapeutyczne dla typowych schorzeń, ponad 50 pozycji</w:t>
      </w:r>
      <w:r>
        <w:br/>
        <w:t>- możliwość zapisywania własnych procedur terapeutycznych (kilkadziesiąt pozycji)</w:t>
      </w:r>
      <w:r>
        <w:br/>
        <w:t>- indywidualna regulacja parametrów dla każdego pacjenta</w:t>
      </w:r>
      <w:r>
        <w:br/>
        <w:t>- system powiadamiania o błędach wraz z podpowiedziami dla obsługi</w:t>
      </w:r>
      <w:r>
        <w:br/>
        <w:t>- system automatycznego rozpoznawania rodzaju przyłączonego aplikatora</w:t>
      </w:r>
      <w:r>
        <w:br/>
        <w:t>- czytelny, duży ekran LCD ułatwiający odczytywanie parametrów</w:t>
      </w:r>
    </w:p>
    <w:sectPr w:rsidR="00760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212" w:rsidRDefault="00505212" w:rsidP="004A2A43">
      <w:pPr>
        <w:spacing w:after="0" w:line="240" w:lineRule="auto"/>
      </w:pPr>
      <w:r>
        <w:separator/>
      </w:r>
    </w:p>
  </w:endnote>
  <w:endnote w:type="continuationSeparator" w:id="0">
    <w:p w:rsidR="00505212" w:rsidRDefault="00505212" w:rsidP="004A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212" w:rsidRDefault="00505212" w:rsidP="004A2A43">
      <w:pPr>
        <w:spacing w:after="0" w:line="240" w:lineRule="auto"/>
      </w:pPr>
      <w:r>
        <w:separator/>
      </w:r>
    </w:p>
  </w:footnote>
  <w:footnote w:type="continuationSeparator" w:id="0">
    <w:p w:rsidR="00505212" w:rsidRDefault="00505212" w:rsidP="004A2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57"/>
    <w:rsid w:val="001840D1"/>
    <w:rsid w:val="00416857"/>
    <w:rsid w:val="004A2A43"/>
    <w:rsid w:val="00505212"/>
    <w:rsid w:val="00542851"/>
    <w:rsid w:val="006C2D50"/>
    <w:rsid w:val="00752D2B"/>
    <w:rsid w:val="007602C2"/>
    <w:rsid w:val="00794F86"/>
    <w:rsid w:val="008D5F81"/>
    <w:rsid w:val="009222CB"/>
    <w:rsid w:val="0097537C"/>
    <w:rsid w:val="009A0298"/>
    <w:rsid w:val="009A1845"/>
    <w:rsid w:val="00A24E92"/>
    <w:rsid w:val="00A61E01"/>
    <w:rsid w:val="00A650A9"/>
    <w:rsid w:val="00AE10FA"/>
    <w:rsid w:val="00C06A30"/>
    <w:rsid w:val="00DE7757"/>
    <w:rsid w:val="00ED400E"/>
    <w:rsid w:val="00F7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A43"/>
  </w:style>
  <w:style w:type="paragraph" w:styleId="Stopka">
    <w:name w:val="footer"/>
    <w:basedOn w:val="Normalny"/>
    <w:link w:val="Stopka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A43"/>
  </w:style>
  <w:style w:type="paragraph" w:styleId="Stopka">
    <w:name w:val="footer"/>
    <w:basedOn w:val="Normalny"/>
    <w:link w:val="Stopka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Dell</cp:lastModifiedBy>
  <cp:revision>12</cp:revision>
  <dcterms:created xsi:type="dcterms:W3CDTF">2018-02-20T12:59:00Z</dcterms:created>
  <dcterms:modified xsi:type="dcterms:W3CDTF">2019-06-24T07:38:00Z</dcterms:modified>
</cp:coreProperties>
</file>